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ind w:firstLine="567"/>
        <w:jc w:val="center"/>
        <w:rPr>
          <w:b/>
          <w:b/>
          <w:bCs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Тема: Основные показатели надзорной деятельности отдела государственного энергетического надзора по Тверской области</w:t>
        <w:br/>
        <w:t xml:space="preserve">за </w:t>
      </w: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  <w:lang w:val="en-US"/>
        </w:rPr>
        <w:t>I</w:t>
      </w: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 xml:space="preserve"> квартал 2026 года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</w:r>
    </w:p>
    <w:p>
      <w:pPr>
        <w:pStyle w:val="Normal"/>
        <w:widowControl w:val="false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СЛАЙД № 1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Добрый день!</w:t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Уважаемые участники мероприятия!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bCs/>
          <w:color w:val="auto"/>
        </w:rPr>
      </w:pPr>
      <w:r>
        <w:rPr>
          <w:rFonts w:eastAsia="Times New Roman" w:cs="Times New Roman" w:ascii="Times New Roman" w:hAnsi="Times New Roman"/>
          <w:b/>
          <w:bCs/>
          <w:color w:val="auto"/>
        </w:rPr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Представленный вашему вниманию доклад содержит обобщенную информацию, а также ряд проблемных вопросов по одному из видов надзора Центрального управления Ростехнадзора, а именно:</w:t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государственный энергетический надзор</w:t>
      </w:r>
    </w:p>
    <w:p>
      <w:pPr>
        <w:pStyle w:val="Normal"/>
        <w:widowControl w:val="false"/>
        <w:ind w:firstLine="567"/>
        <w:jc w:val="center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СЛАЙД № 2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cs="Times New Roman"/>
          <w:b/>
          <w:b/>
          <w:sz w:val="30"/>
          <w:szCs w:val="30"/>
        </w:rPr>
      </w:pPr>
      <w:r>
        <w:rPr/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cs="Times New Roman" w:ascii="Times New Roman" w:hAnsi="Times New Roman"/>
          <w:b/>
          <w:sz w:val="30"/>
          <w:szCs w:val="30"/>
        </w:rPr>
        <w:t xml:space="preserve">       </w:t>
      </w:r>
      <w:r>
        <w:rPr>
          <w:rFonts w:cs="Times New Roman" w:ascii="Times New Roman" w:hAnsi="Times New Roman"/>
          <w:b/>
          <w:sz w:val="30"/>
          <w:szCs w:val="30"/>
          <w:u w:val="single"/>
        </w:rPr>
        <w:t xml:space="preserve"> </w:t>
      </w:r>
      <w:r>
        <w:rPr>
          <w:rFonts w:cs="Times New Roman" w:ascii="Times New Roman" w:hAnsi="Times New Roman"/>
          <w:b/>
          <w:sz w:val="30"/>
          <w:szCs w:val="30"/>
          <w:u w:val="single"/>
        </w:rPr>
        <w:t>Осуществление государственного энергетического надзора</w:t>
      </w:r>
    </w:p>
    <w:p>
      <w:pPr>
        <w:pStyle w:val="Normal"/>
        <w:widowControl w:val="false"/>
        <w:jc w:val="center"/>
        <w:rPr>
          <w:rFonts w:ascii="Times New Roman" w:hAnsi="Times New Roman" w:eastAsia="Times New Roman" w:cs="Times New Roman"/>
          <w:b/>
          <w:b/>
          <w:bCs/>
          <w:color w:val="auto"/>
        </w:rPr>
      </w:pPr>
      <w:r>
        <w:rPr>
          <w:rFonts w:eastAsia="Times New Roman" w:cs="Times New Roman" w:ascii="Times New Roman" w:hAnsi="Times New Roman"/>
          <w:b/>
          <w:bCs/>
          <w:color w:val="auto"/>
        </w:rPr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На слайде представлена общая информация по количеству субъектов электроэнергетики, теплоснабжающих организаций, теплосетевых организаций и потребителей электрической энергии, поднадзорных Центральному управлению Ростехнадзора, отнесённых к категориям высокого, значительного, среднего и умеренного риска, осуществляющих свою деятельность на территории Тверской области. Следует отметить, что Управлением на постоянной основе ведётся работа по актуализации перечней таких организаций.</w:t>
      </w:r>
    </w:p>
    <w:p>
      <w:pPr>
        <w:pStyle w:val="Normal"/>
        <w:widowControl w:val="false"/>
        <w:ind w:firstLine="567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 w:ascii="Times New Roman" w:hAnsi="Times New Roman"/>
          <w:bCs/>
          <w:color w:val="auto"/>
        </w:rPr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СЛАЙД № 3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bCs/>
          <w:color w:val="auto"/>
        </w:rPr>
      </w:pPr>
      <w:r>
        <w:rPr>
          <w:rFonts w:eastAsia="Times New Roman" w:cs="Times New Roman" w:ascii="Times New Roman" w:hAnsi="Times New Roman"/>
          <w:b/>
          <w:bCs/>
          <w:color w:val="auto"/>
        </w:rPr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В связи с выполнением Плана проведения плановых контрольных (надзорных) мероприятий Центральным управлением Федеральной службы по экологическому, технологическому и атомному надзору на 2026 год,</w:t>
        <w:br/>
        <w:t>на основании пункта 2 части 1 статьи 57 Федерального закона  от 31июля 2020 г. № 248-ФЗ «О государственном контроле (надзоре) и муниципальном контроле в Российской Федерации</w:t>
      </w: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 xml:space="preserve"> в 2026 году запланировано проведение 5 плановых выездных проверок организаций с присвоенной высокой категории риска. </w:t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 xml:space="preserve">В </w:t>
      </w:r>
      <w:r>
        <w:rPr>
          <w:rFonts w:eastAsia="Times New Roman" w:cs="Times New Roman" w:ascii="Times New Roman" w:hAnsi="Times New Roman"/>
          <w:color w:val="auto"/>
          <w:sz w:val="30"/>
          <w:szCs w:val="30"/>
          <w:lang w:val="en-US"/>
        </w:rPr>
        <w:t>I</w:t>
      </w: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 xml:space="preserve"> квартале 2026 года проведены1 плановая и 2 внеплановых выездных проверки и по требованию прокуратуры. Выявлено 400 нарушений обязательных требований.</w:t>
      </w:r>
    </w:p>
    <w:p>
      <w:pPr>
        <w:sectPr>
          <w:type w:val="nextPage"/>
          <w:pgSz w:w="11906" w:h="16838"/>
          <w:pgMar w:left="1241" w:right="681" w:gutter="0" w:header="0" w:top="1064" w:footer="0" w:bottom="869"/>
          <w:pgNumType w:fmt="decimal"/>
          <w:formProt w:val="false"/>
          <w:textDirection w:val="lrTb"/>
          <w:docGrid w:type="default" w:linePitch="360" w:charSpace="0"/>
        </w:sectPr>
        <w:pStyle w:val="Normal"/>
        <w:ind w:firstLine="567"/>
        <w:jc w:val="both"/>
        <w:rPr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Контролируемым лицам выданы предписания об устранении выявленных нарушений, сроки устранения которых находятся на контроле Управления. </w:t>
        <w:br/>
        <w:t>К административной ответственности 3 юридических и 5 должностных лиц.</w:t>
      </w:r>
    </w:p>
    <w:p>
      <w:pPr>
        <w:pStyle w:val="Normal"/>
        <w:widowControl w:val="false"/>
        <w:ind w:firstLine="709"/>
        <w:jc w:val="both"/>
        <w:rPr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Отделом государственного энергетического по Тверской области надзора проводится работа по профилактике нарушений обязательных требований.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В случаях поступления информации о готовящихся нарушениях или признаках нарушений обязательных требований, если ранее лицо </w:t>
        <w:br/>
        <w:t>не привлекалось к ответственности и отсутствуют сведения о причинении вреда жизни, здоровью граждан, животным, растениям, окружающей среде, объектам культурного наследия, органы контроля (надзора) объявляют предостережение о недопустимости нарушения обязательных требований, предлагают принять меры по обеспечению их соблюдения.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30"/>
          <w:szCs w:val="30"/>
        </w:rPr>
        <w:t>В рамках приказа Центрального управления Ростехнадзора от 19 января 2026 года № ПР-210-39-о «Об организации проведения профилактических мероприятий в отношении контролируемых лиц в 2026 году» работниками отдела проведен анализ информации контролируемых лицах</w:t>
        <w:br/>
        <w:t>и эксплуатируемых ими поднадзорных объектах.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 целях недопущения нарушений требований по эксплуатации энергообъектов юридическим лицам объявлено 50 предостережений</w:t>
        <w:br/>
        <w:t xml:space="preserve">о недопустимости нарушения обязательных требований. 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СЛАЙД № 4</w:t>
      </w:r>
    </w:p>
    <w:p>
      <w:pPr>
        <w:pStyle w:val="Normal"/>
        <w:widowControl w:val="false"/>
        <w:ind w:right="-142" w:firstLine="708"/>
        <w:jc w:val="center"/>
        <w:rPr>
          <w:rFonts w:ascii="Times New Roman" w:hAnsi="Times New Roman" w:eastAsia="Times New Roman" w:cs="Times New Roman"/>
          <w:b/>
          <w:b/>
          <w:color w:val="auto"/>
          <w:u w:val="single"/>
        </w:rPr>
      </w:pPr>
      <w:r>
        <w:rPr>
          <w:rFonts w:eastAsia="Times New Roman" w:cs="Times New Roman" w:ascii="Times New Roman" w:hAnsi="Times New Roman"/>
          <w:b/>
          <w:color w:val="auto"/>
          <w:u w:val="single"/>
        </w:rPr>
      </w:r>
    </w:p>
    <w:p>
      <w:pPr>
        <w:pStyle w:val="Normal"/>
        <w:widowControl w:val="false"/>
        <w:ind w:right="-142" w:firstLine="708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color w:val="auto"/>
          <w:sz w:val="30"/>
          <w:szCs w:val="30"/>
          <w:u w:val="single"/>
        </w:rPr>
        <w:t>Подготовка к ОЗП муниципальных образований.</w:t>
      </w:r>
    </w:p>
    <w:p>
      <w:pPr>
        <w:pStyle w:val="Normal"/>
        <w:widowControl w:val="false"/>
        <w:ind w:right="-142" w:firstLine="708"/>
        <w:jc w:val="both"/>
        <w:rPr>
          <w:rFonts w:ascii="Times New Roman" w:hAnsi="Times New Roman" w:eastAsia="Times New Roman" w:cs="Times New Roman"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</w:r>
    </w:p>
    <w:p>
      <w:pPr>
        <w:pStyle w:val="Normal"/>
        <w:widowControl w:val="false"/>
        <w:ind w:firstLine="73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Одним из приоритетных и социально важных направлений деятельности Центрального управления является ежегодная проверка готовности электросетевых и теплоснабжающих организаций</w:t>
        <w:br/>
        <w:t>к прохождению отопительного периода.</w:t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Основные нарушения, выявляемые при подготовке к работе в осенне-зимний период представлены на экране.</w:t>
      </w:r>
    </w:p>
    <w:p>
      <w:pPr>
        <w:pStyle w:val="Normal"/>
        <w:tabs>
          <w:tab w:val="clear" w:pos="720"/>
          <w:tab w:val="left" w:pos="709" w:leader="none"/>
        </w:tabs>
        <w:suppressAutoHyphens w:val="false"/>
        <w:spacing w:lineRule="auto" w:line="276"/>
        <w:ind w:firstLine="709"/>
        <w:jc w:val="both"/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color w:val="auto"/>
          <w:sz w:val="28"/>
          <w:szCs w:val="28"/>
          <w:lang w:eastAsia="en-US"/>
        </w:rPr>
        <w:t xml:space="preserve">По результатам работы Комиссии по оценке готовности муниципальных образований Тверской области к отопительному периоду 2025-2026 г.г. </w:t>
        <w:br/>
        <w:t xml:space="preserve">29 муниципальных образований признаны готовыми к отопительному периоду, </w:t>
        <w:br/>
        <w:t xml:space="preserve">9 муниципальных образований  признаны готовыми с условиями по причине </w:t>
        <w:br/>
        <w:t>невыполнения требований пункта 3 статьи 20 Федерального закона № 190-ФЗ в части актуализации и утверждения схемы теплоснабжения.</w:t>
      </w:r>
    </w:p>
    <w:p>
      <w:pPr>
        <w:pStyle w:val="Normal"/>
        <w:tabs>
          <w:tab w:val="clear" w:pos="720"/>
          <w:tab w:val="left" w:pos="709" w:leader="none"/>
        </w:tabs>
        <w:suppressAutoHyphens w:val="false"/>
        <w:spacing w:lineRule="auto" w:line="276"/>
        <w:ind w:firstLine="709"/>
        <w:jc w:val="both"/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color w:val="auto"/>
          <w:sz w:val="28"/>
          <w:szCs w:val="28"/>
          <w:lang w:eastAsia="en-US"/>
        </w:rPr>
        <w:t>1 муниципальный округ признан не готовым к отопительному периоду по причине непроведения оценки готовности к отопительному периоду объектов теплоснабжения.</w:t>
      </w:r>
    </w:p>
    <w:p>
      <w:pPr>
        <w:pStyle w:val="Normal"/>
        <w:tabs>
          <w:tab w:val="clear" w:pos="720"/>
          <w:tab w:val="left" w:pos="709" w:leader="none"/>
        </w:tabs>
        <w:suppressAutoHyphens w:val="false"/>
        <w:ind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По истечению срока исполнения мероприятий </w:t>
        <w:br/>
        <w:t>по устранению нарушений, выявленных при оценке готовности к отопительному периоду 2025-2026 гг., было проведено очередное заседание Комиссии. По результатам заседания Комиссии установлено следующее:</w:t>
      </w:r>
    </w:p>
    <w:p>
      <w:pPr>
        <w:pStyle w:val="Normal"/>
        <w:tabs>
          <w:tab w:val="clear" w:pos="720"/>
          <w:tab w:val="left" w:pos="709" w:leader="none"/>
        </w:tabs>
        <w:suppressAutoHyphens w:val="false"/>
        <w:jc w:val="both"/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color w:val="auto"/>
          <w:sz w:val="28"/>
          <w:szCs w:val="28"/>
          <w:lang w:eastAsia="en-US"/>
        </w:rPr>
        <w:t>- 5ю муниципальными образованиями нарушения устранены в срок.</w:t>
      </w:r>
    </w:p>
    <w:p>
      <w:pPr>
        <w:pStyle w:val="Normal"/>
        <w:tabs>
          <w:tab w:val="clear" w:pos="720"/>
          <w:tab w:val="left" w:pos="709" w:leader="none"/>
        </w:tabs>
        <w:suppressAutoHyphens w:val="false"/>
        <w:jc w:val="both"/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Cs/>
          <w:color w:val="auto"/>
          <w:sz w:val="28"/>
          <w:szCs w:val="28"/>
          <w:lang w:eastAsia="en-US"/>
        </w:rPr>
        <w:t>- 5-ю муниципальными образованиями выявленные нарушения не устранены.</w:t>
      </w:r>
    </w:p>
    <w:p>
      <w:pPr>
        <w:pStyle w:val="Normal"/>
        <w:tabs>
          <w:tab w:val="clear" w:pos="720"/>
          <w:tab w:val="left" w:pos="709" w:leader="none"/>
        </w:tabs>
        <w:suppressAutoHyphens w:val="false"/>
        <w:ind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eastAsia="Calibri" w:cs="Times New Roman" w:ascii="Times New Roman" w:hAnsi="Times New Roman"/>
          <w:bCs/>
          <w:color w:val="auto"/>
          <w:sz w:val="28"/>
          <w:szCs w:val="28"/>
          <w:lang w:eastAsia="en-US"/>
        </w:rPr>
        <w:t xml:space="preserve">Главы администраций муниципальных образований, не устранивших </w:t>
        <w:br/>
        <w:t xml:space="preserve">в установленный срок нарушения, выявленные при подготовке </w:t>
        <w:br/>
        <w:t xml:space="preserve">к отопительному периоду 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2025-2026 гг., Управлением привлечены к административной ответственности, предусмотренной частью 6 статьи 9.24 Кодекса Российской Федерации об административных правонарушениях.</w:t>
      </w:r>
    </w:p>
    <w:p>
      <w:pPr>
        <w:pStyle w:val="Normal"/>
        <w:widowControl w:val="false"/>
        <w:ind w:firstLine="567"/>
        <w:jc w:val="both"/>
        <w:rPr>
          <w:rFonts w:ascii="Times New Roman" w:hAnsi="Times New Roman" w:eastAsia="Times New Roman" w:cs="Times New Roman"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color w:val="auto"/>
          <w:sz w:val="30"/>
          <w:szCs w:val="30"/>
          <w:u w:val="single"/>
        </w:rPr>
        <w:t>Охранные зоны.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color w:val="auto"/>
          <w:u w:val="single"/>
        </w:rPr>
      </w:pPr>
      <w:r>
        <w:rPr>
          <w:rFonts w:eastAsia="Times New Roman" w:cs="Times New Roman" w:ascii="Times New Roman" w:hAnsi="Times New Roman"/>
          <w:b/>
          <w:color w:val="auto"/>
          <w:u w:val="single"/>
        </w:rPr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В рамках осуществления федерального г</w:t>
      </w: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 xml:space="preserve">осударственного энергетического надзора отделом осуществляется согласование охранных зон объектов электросетевого хозяйства. </w:t>
      </w:r>
    </w:p>
    <w:p>
      <w:pPr>
        <w:pStyle w:val="Normal"/>
        <w:widowControl w:val="false"/>
        <w:ind w:firstLine="567"/>
        <w:jc w:val="both"/>
        <w:rPr>
          <w:rFonts w:ascii="Times New Roman" w:hAnsi="Times New Roman" w:eastAsia="Times New Roman" w:cs="Times New Roman"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 xml:space="preserve">В </w:t>
      </w:r>
      <w:r>
        <w:rPr>
          <w:rFonts w:eastAsia="Times New Roman" w:cs="Times New Roman" w:ascii="Times New Roman" w:hAnsi="Times New Roman"/>
          <w:color w:val="auto"/>
          <w:sz w:val="30"/>
          <w:szCs w:val="30"/>
          <w:lang w:val="en-US"/>
        </w:rPr>
        <w:t>I</w:t>
      </w: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 xml:space="preserve"> квартале 2026 года в Тверской области поступило 18 заявлений на согласование охранных зон объектов электросетевого хозяйства, Управлением согласованы границы 18 охранных зон.</w:t>
      </w: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 xml:space="preserve"> 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color w:val="auto"/>
          <w:sz w:val="30"/>
          <w:szCs w:val="30"/>
          <w:u w:val="single"/>
        </w:rPr>
      </w:pPr>
      <w:r>
        <w:rPr>
          <w:rFonts w:eastAsia="Times New Roman" w:cs="Times New Roman" w:ascii="Times New Roman" w:hAnsi="Times New Roman"/>
          <w:b/>
          <w:color w:val="auto"/>
          <w:sz w:val="30"/>
          <w:szCs w:val="30"/>
          <w:u w:val="single"/>
        </w:rPr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color w:val="auto"/>
          <w:sz w:val="30"/>
          <w:szCs w:val="30"/>
          <w:u w:val="single"/>
        </w:rPr>
        <w:t>Аварийность и травматизм.</w:t>
      </w:r>
    </w:p>
    <w:p>
      <w:pPr>
        <w:pStyle w:val="Normal"/>
        <w:widowControl w:val="false"/>
        <w:ind w:firstLine="567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 w:ascii="Times New Roman" w:hAnsi="Times New Roman"/>
          <w:bCs/>
          <w:color w:val="auto"/>
        </w:rPr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Центральным управлением Ростехнадзора ведется работа, направленная на предупреждение, выявление и пресечение нарушений обязательных требований посредством контрольных (надзорных) мероприятий, а также профилактики нарушений.</w:t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СЛАЙД № 6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cs="Times New Roman" w:ascii="Times New Roman" w:hAnsi="Times New Roman"/>
          <w:color w:val="auto"/>
          <w:sz w:val="30"/>
          <w:szCs w:val="30"/>
        </w:rPr>
        <w:t xml:space="preserve">В </w:t>
      </w:r>
      <w:r>
        <w:rPr>
          <w:rFonts w:cs="Times New Roman" w:ascii="Times New Roman" w:hAnsi="Times New Roman"/>
          <w:color w:val="auto"/>
          <w:sz w:val="30"/>
          <w:szCs w:val="30"/>
          <w:lang w:val="en-US"/>
        </w:rPr>
        <w:t>I</w:t>
      </w:r>
      <w:r>
        <w:rPr>
          <w:rFonts w:cs="Times New Roman" w:ascii="Times New Roman" w:hAnsi="Times New Roman"/>
          <w:color w:val="auto"/>
          <w:sz w:val="30"/>
          <w:szCs w:val="30"/>
        </w:rPr>
        <w:t xml:space="preserve"> квартале 2026 года произошло 992 отключения, из которых 2218 - по причине отключения ВЛ и ТП напряжением 6-35 кВ.</w:t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 xml:space="preserve">Основное количество аварий произошли на линиях электропередачи 35 кВ и ниже, что свидетельствует о недостаточности и неэффективности принятия мер электросетевыми организациями по снижению аварийности. </w:t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Основными причинами аварий на ВЛ является несвоевременное выявление дефектов элементов воздушных линий, а также падение деревьев</w:t>
        <w:br/>
        <w:t>на провода воздушных линий электропередачи. Возникновения данных аварийных ситуаций обусловлено следующими предпосылками и причинами возникновения и развития данных ситуаций:</w:t>
      </w:r>
    </w:p>
    <w:p>
      <w:pPr>
        <w:pStyle w:val="Normal"/>
        <w:widowControl w:val="false"/>
        <w:numPr>
          <w:ilvl w:val="0"/>
          <w:numId w:val="2"/>
        </w:numPr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несоблюдение сроков и объемов технического обслуживания</w:t>
        <w:br/>
        <w:t>и ремонта оборудования и устройств, а также низкое качество технического обслуживания;</w:t>
      </w:r>
    </w:p>
    <w:p>
      <w:pPr>
        <w:pStyle w:val="Normal"/>
        <w:widowControl w:val="false"/>
        <w:numPr>
          <w:ilvl w:val="0"/>
          <w:numId w:val="2"/>
        </w:numPr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несвоевременное выявление и устранение дефектов;</w:t>
      </w:r>
    </w:p>
    <w:p>
      <w:pPr>
        <w:pStyle w:val="Normal"/>
        <w:widowControl w:val="false"/>
        <w:numPr>
          <w:ilvl w:val="0"/>
          <w:numId w:val="2"/>
        </w:numPr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износ оборудования в процессе длительной эксплуатации;</w:t>
      </w:r>
    </w:p>
    <w:p>
      <w:pPr>
        <w:pStyle w:val="Normal"/>
        <w:widowControl w:val="false"/>
        <w:numPr>
          <w:ilvl w:val="0"/>
          <w:numId w:val="2"/>
        </w:numPr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несвоевременная расчистка охранных зон ВЛ, а также удаление деревьев, угрожающих падению;</w:t>
      </w:r>
    </w:p>
    <w:p>
      <w:pPr>
        <w:pStyle w:val="Normal"/>
        <w:widowControl w:val="false"/>
        <w:numPr>
          <w:ilvl w:val="0"/>
          <w:numId w:val="2"/>
        </w:numPr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не укомплектованность квалифицированным персоналом</w:t>
        <w:br/>
        <w:t>в соответствии со штатным расписанием, а также его «загруженность».</w:t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Как следствие аварийные ситуации на объектах электроэнергетики приводят к несчастным случаям. На территории Тверской области</w:t>
        <w:br/>
        <w:t>со смертельным исходом на поднадзорных объектах Центрального управления Ростехнадзора за отчетный период таковых не было.</w:t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В целях профилактики аварийности и травматизма на сайте Центрального управления Ростехнадзора ежеквартально публикуется анализ несчастных случаев на энергоустановках в разрезе всех управлений Ростехнадзора, а также проводится информирование поднадзорных организаций об извлечённых уроках для обязательного изучения сотрудниками предприятий информации</w:t>
        <w:br/>
        <w:t>с реальными примерами «как делать не надо».</w:t>
      </w:r>
    </w:p>
    <w:p>
      <w:pPr>
        <w:pStyle w:val="Normal"/>
        <w:widowControl w:val="false"/>
        <w:ind w:firstLine="567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Кроме того, в рамках профилактики аварийности и травматизма отделом государственного энергетического надзора по Тверской области объявляются предостережения о недопустимости нарушения обязательных требований</w:t>
        <w:br/>
        <w:t>в сфере электроэнергетики и теплоснабжения.</w:t>
      </w:r>
    </w:p>
    <w:p>
      <w:pPr>
        <w:pStyle w:val="Normal"/>
        <w:widowControl w:val="false"/>
        <w:ind w:firstLine="567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СЛАЙД № 7</w:t>
      </w:r>
    </w:p>
    <w:p>
      <w:pPr>
        <w:pStyle w:val="Normal"/>
        <w:widowControl w:val="false"/>
        <w:ind w:firstLine="567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  <w:u w:val="single"/>
        </w:rPr>
        <w:t>Проверка знаний в области энергетического надзора.</w:t>
      </w:r>
    </w:p>
    <w:p>
      <w:pPr>
        <w:pStyle w:val="Normal"/>
        <w:widowControl w:val="false"/>
        <w:ind w:firstLine="567"/>
        <w:jc w:val="both"/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 w:ascii="Times New Roman" w:hAnsi="Times New Roman"/>
          <w:bCs/>
          <w:color w:val="auto"/>
        </w:rPr>
      </w:r>
    </w:p>
    <w:p>
      <w:pPr>
        <w:pStyle w:val="Normal"/>
        <w:widowControl w:val="false"/>
        <w:ind w:firstLine="567"/>
        <w:jc w:val="both"/>
        <w:rPr>
          <w:rFonts w:ascii="Times New Roman" w:hAnsi="Times New Roman" w:eastAsia="Times New Roman" w:cs="Times New Roman"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На территории Тверской области в комиссии Центрального управления Ростехнадзора проводится проверка знаний электробезопасности у работников поднадзорных организаций на базе успешно информационной системы «Единый портал тестирования</w:t>
      </w: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>», так за отчетный период от поднадзорных организаций было получено заявлений о проверке знаний 987 лиц, прошли проверку знаний в территориальной комиссии Ростехнадзора 816 лиц,</w:t>
        <w:br/>
        <w:t>из которых 773 лица сдали и 43 - получили неудовлетворительную оценку.</w:t>
      </w:r>
    </w:p>
    <w:p>
      <w:pPr>
        <w:pStyle w:val="Normal"/>
        <w:widowControl w:val="false"/>
        <w:ind w:firstLine="567"/>
        <w:jc w:val="both"/>
        <w:rPr>
          <w:rFonts w:ascii="Times New Roman" w:hAnsi="Times New Roman" w:eastAsia="Times New Roman" w:cs="Times New Roman"/>
          <w:b/>
          <w:b/>
          <w:color w:val="auto"/>
          <w:sz w:val="30"/>
          <w:szCs w:val="30"/>
          <w:u w:val="single"/>
        </w:rPr>
      </w:pPr>
      <w:r>
        <w:rPr>
          <w:rFonts w:eastAsia="Times New Roman" w:cs="Times New Roman" w:ascii="Times New Roman" w:hAnsi="Times New Roman"/>
          <w:b/>
          <w:color w:val="auto"/>
          <w:sz w:val="30"/>
          <w:szCs w:val="30"/>
          <w:u w:val="single"/>
        </w:rPr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color w:val="auto"/>
          <w:sz w:val="30"/>
          <w:szCs w:val="30"/>
          <w:u w:val="single"/>
        </w:rPr>
        <w:t>Обращения граждан.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color w:val="auto"/>
          <w:sz w:val="30"/>
          <w:szCs w:val="30"/>
          <w:u w:val="single"/>
        </w:rPr>
      </w:pPr>
      <w:r>
        <w:rPr>
          <w:rFonts w:eastAsia="Times New Roman" w:cs="Times New Roman" w:ascii="Times New Roman" w:hAnsi="Times New Roman"/>
          <w:b/>
          <w:color w:val="auto"/>
          <w:sz w:val="30"/>
          <w:szCs w:val="30"/>
          <w:u w:val="single"/>
        </w:rPr>
      </w:r>
    </w:p>
    <w:p>
      <w:pPr>
        <w:pStyle w:val="Normal"/>
        <w:ind w:firstLine="708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>Большая работа проводится по рассмотрению обращений граждан, исполнительных и надзорных органов.</w:t>
      </w:r>
    </w:p>
    <w:p>
      <w:pPr>
        <w:pStyle w:val="Normal"/>
        <w:ind w:firstLine="708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  <w:t xml:space="preserve">В отчетный период в </w:t>
      </w: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>отдел государственного энергетического надзора по Тверской области поступило 85 обращений.</w:t>
      </w:r>
    </w:p>
    <w:p>
      <w:pPr>
        <w:pStyle w:val="Normal"/>
        <w:ind w:firstLine="708"/>
        <w:jc w:val="both"/>
        <w:rPr>
          <w:sz w:val="30"/>
          <w:szCs w:val="30"/>
        </w:rPr>
      </w:pP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 xml:space="preserve">По результатам рассмотрения обращений в </w:t>
      </w:r>
      <w:r>
        <w:rPr>
          <w:rFonts w:eastAsia="Times New Roman" w:cs="Times New Roman" w:ascii="Times New Roman" w:hAnsi="Times New Roman"/>
          <w:color w:val="auto"/>
          <w:sz w:val="30"/>
          <w:szCs w:val="30"/>
          <w:lang w:val="en-US"/>
        </w:rPr>
        <w:t>I</w:t>
      </w:r>
      <w:r>
        <w:rPr>
          <w:rFonts w:eastAsia="Times New Roman" w:cs="Times New Roman" w:ascii="Times New Roman" w:hAnsi="Times New Roman"/>
          <w:color w:val="auto"/>
          <w:sz w:val="30"/>
          <w:szCs w:val="30"/>
        </w:rPr>
        <w:t xml:space="preserve"> квартале 2026 года было объявлено 31 предостережение о недопустимости нарушения обязательных требований.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Cs/>
          <w:color w:val="auto"/>
          <w:sz w:val="30"/>
          <w:szCs w:val="30"/>
        </w:rPr>
      </w:r>
    </w:p>
    <w:p>
      <w:pPr>
        <w:pStyle w:val="Normal"/>
        <w:widowControl w:val="false"/>
        <w:ind w:firstLine="567"/>
        <w:jc w:val="center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Благодарю за внимание!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  <w:t>Доклад окончен</w:t>
      </w:r>
    </w:p>
    <w:p>
      <w:pPr>
        <w:pStyle w:val="Normal"/>
        <w:widowControl w:val="false"/>
        <w:ind w:firstLine="567"/>
        <w:jc w:val="center"/>
        <w:rPr>
          <w:rFonts w:ascii="Times New Roman" w:hAnsi="Times New Roman" w:eastAsia="Times New Roman" w:cs="Times New Roman"/>
          <w:b/>
          <w:b/>
          <w:bCs/>
          <w:color w:val="auto"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0"/>
          <w:szCs w:val="30"/>
        </w:rPr>
      </w:r>
    </w:p>
    <w:p>
      <w:pPr>
        <w:pStyle w:val="Normal"/>
        <w:widowControl w:val="false"/>
        <w:ind w:firstLine="567"/>
        <w:jc w:val="both"/>
        <w:rPr>
          <w:rFonts w:ascii="Times New Roman" w:hAnsi="Times New Roman" w:eastAsia="Times New Roman" w:cs="Times New Roman"/>
          <w:color w:val="auto"/>
          <w:sz w:val="30"/>
          <w:szCs w:val="3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2"/>
      <w:type w:val="nextPage"/>
      <w:pgSz w:w="11906" w:h="16838"/>
      <w:pgMar w:left="1134" w:right="565" w:gutter="0" w:header="0" w:top="851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Arial Unicode MS">
    <w:charset w:val="01"/>
    <w:family w:val="roman"/>
    <w:pitch w:val="variable"/>
  </w:font>
  <w:font w:name="Cambria">
    <w:charset w:val="01"/>
    <w:family w:val="roman"/>
    <w:pitch w:val="variable"/>
  </w:font>
  <w:font w:name="Calibri Light">
    <w:charset w:val="01"/>
    <w:family w:val="roman"/>
    <w:pitch w:val="variable"/>
  </w:font>
  <w:font w:name="Palatino Linotype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Style26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Style26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4</w:t>
    </w:r>
    <w:r>
      <w:rPr>
        <w:rFonts w:cs="Times New Roman"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57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e170f"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3775b6"/>
    <w:pPr>
      <w:keepNext w:val="true"/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4">
    <w:name w:val="Heading 4"/>
    <w:basedOn w:val="Normal"/>
    <w:next w:val="Normal"/>
    <w:link w:val="40"/>
    <w:semiHidden/>
    <w:unhideWhenUsed/>
    <w:qFormat/>
    <w:rsid w:val="00093e9d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541960"/>
    <w:rPr>
      <w:color w:val="000080"/>
      <w:u w:val="single"/>
    </w:rPr>
  </w:style>
  <w:style w:type="character" w:styleId="Style13" w:customStyle="1">
    <w:name w:val="Основной текст Знак"/>
    <w:qFormat/>
    <w:rsid w:val="00541960"/>
    <w:rPr>
      <w:rFonts w:ascii="Palatino Linotype" w:hAnsi="Palatino Linotype" w:cs="Palatino Linotype"/>
      <w:spacing w:val="-20"/>
      <w:sz w:val="30"/>
      <w:szCs w:val="30"/>
    </w:rPr>
  </w:style>
  <w:style w:type="character" w:styleId="0pt" w:customStyle="1">
    <w:name w:val="Основной текст + Интервал 0 pt"/>
    <w:qFormat/>
    <w:rsid w:val="00541960"/>
    <w:rPr>
      <w:rFonts w:ascii="Palatino Linotype" w:hAnsi="Palatino Linotype" w:cs="Palatino Linotype"/>
      <w:spacing w:val="0"/>
      <w:sz w:val="30"/>
      <w:szCs w:val="30"/>
      <w:lang w:val="en-US" w:eastAsia="en-US"/>
    </w:rPr>
  </w:style>
  <w:style w:type="character" w:styleId="1pt" w:customStyle="1">
    <w:name w:val="Основной текст + Интервал 1 pt"/>
    <w:qFormat/>
    <w:rsid w:val="00541960"/>
    <w:rPr>
      <w:rFonts w:ascii="Palatino Linotype" w:hAnsi="Palatino Linotype" w:cs="Palatino Linotype"/>
      <w:spacing w:val="30"/>
      <w:sz w:val="30"/>
      <w:szCs w:val="30"/>
    </w:rPr>
  </w:style>
  <w:style w:type="character" w:styleId="11" w:customStyle="1">
    <w:name w:val="Заголовок №1_"/>
    <w:link w:val="10"/>
    <w:qFormat/>
    <w:rsid w:val="00541960"/>
    <w:rPr>
      <w:rFonts w:ascii="Palatino Linotype" w:hAnsi="Palatino Linotype" w:cs="Palatino Linotype"/>
      <w:spacing w:val="-20"/>
      <w:sz w:val="30"/>
      <w:szCs w:val="30"/>
    </w:rPr>
  </w:style>
  <w:style w:type="character" w:styleId="Tahoma" w:customStyle="1">
    <w:name w:val="Основной текст + Tahoma"/>
    <w:qFormat/>
    <w:rsid w:val="00541960"/>
    <w:rPr>
      <w:rFonts w:ascii="Tahoma" w:hAnsi="Tahoma" w:cs="Tahoma"/>
      <w:b/>
      <w:bCs/>
      <w:i/>
      <w:iCs/>
      <w:spacing w:val="0"/>
      <w:sz w:val="23"/>
      <w:szCs w:val="23"/>
    </w:rPr>
  </w:style>
  <w:style w:type="character" w:styleId="0pt1" w:customStyle="1">
    <w:name w:val="Основной текст + Интервал 0 pt1"/>
    <w:qFormat/>
    <w:rsid w:val="00541960"/>
    <w:rPr>
      <w:rFonts w:ascii="Palatino Linotype" w:hAnsi="Palatino Linotype" w:cs="Palatino Linotype"/>
      <w:spacing w:val="0"/>
      <w:sz w:val="30"/>
      <w:szCs w:val="30"/>
    </w:rPr>
  </w:style>
  <w:style w:type="character" w:styleId="Style14" w:customStyle="1">
    <w:name w:val="Верхний колонтитул Знак"/>
    <w:uiPriority w:val="99"/>
    <w:qFormat/>
    <w:rsid w:val="0001262f"/>
    <w:rPr>
      <w:color w:val="000000"/>
      <w:sz w:val="24"/>
      <w:szCs w:val="24"/>
    </w:rPr>
  </w:style>
  <w:style w:type="character" w:styleId="Style15" w:customStyle="1">
    <w:name w:val="Нижний колонтитул Знак"/>
    <w:qFormat/>
    <w:rsid w:val="0001262f"/>
    <w:rPr>
      <w:color w:val="000000"/>
      <w:sz w:val="24"/>
      <w:szCs w:val="24"/>
    </w:rPr>
  </w:style>
  <w:style w:type="character" w:styleId="3" w:customStyle="1">
    <w:name w:val="Основной текст с отступом 3 Знак"/>
    <w:link w:val="3"/>
    <w:qFormat/>
    <w:rsid w:val="00503f1d"/>
    <w:rPr>
      <w:color w:val="000000"/>
      <w:sz w:val="16"/>
      <w:szCs w:val="16"/>
    </w:rPr>
  </w:style>
  <w:style w:type="character" w:styleId="Style16" w:customStyle="1">
    <w:name w:val="Текст выноски Знак"/>
    <w:qFormat/>
    <w:rsid w:val="004e5e9b"/>
    <w:rPr>
      <w:rFonts w:ascii="Tahoma" w:hAnsi="Tahoma" w:cs="Tahoma"/>
      <w:color w:val="000000"/>
      <w:sz w:val="16"/>
      <w:szCs w:val="16"/>
    </w:rPr>
  </w:style>
  <w:style w:type="character" w:styleId="12" w:customStyle="1">
    <w:name w:val="Заголовок 1 Знак"/>
    <w:qFormat/>
    <w:rsid w:val="003775b6"/>
    <w:rPr>
      <w:rFonts w:ascii="Cambria" w:hAnsi="Cambria" w:eastAsia="Times New Roman" w:cs="Times New Roman"/>
      <w:b/>
      <w:bCs/>
      <w:color w:val="000000"/>
      <w:kern w:val="2"/>
      <w:sz w:val="32"/>
      <w:szCs w:val="32"/>
    </w:rPr>
  </w:style>
  <w:style w:type="character" w:styleId="2" w:customStyle="1">
    <w:name w:val="Основной текст 2 Знак"/>
    <w:link w:val="2"/>
    <w:qFormat/>
    <w:rsid w:val="00537d72"/>
    <w:rPr>
      <w:color w:val="000000"/>
      <w:sz w:val="24"/>
      <w:szCs w:val="24"/>
    </w:rPr>
  </w:style>
  <w:style w:type="character" w:styleId="31" w:customStyle="1">
    <w:name w:val="Основной текст 3 Знак"/>
    <w:qFormat/>
    <w:rsid w:val="00537d72"/>
    <w:rPr>
      <w:rFonts w:ascii="Times New Roman" w:hAnsi="Times New Roman" w:eastAsia="Times New Roman" w:cs="Times New Roman"/>
      <w:sz w:val="16"/>
      <w:szCs w:val="16"/>
    </w:rPr>
  </w:style>
  <w:style w:type="character" w:styleId="Style17" w:customStyle="1">
    <w:name w:val="Текст Знак"/>
    <w:qFormat/>
    <w:rsid w:val="00537d72"/>
    <w:rPr>
      <w:rFonts w:ascii="Courier New" w:hAnsi="Courier New" w:eastAsia="Times New Roman" w:cs="Courier New"/>
      <w:sz w:val="24"/>
      <w:szCs w:val="24"/>
    </w:rPr>
  </w:style>
  <w:style w:type="character" w:styleId="Blk" w:customStyle="1">
    <w:name w:val="blk"/>
    <w:qFormat/>
    <w:rsid w:val="004610ff"/>
    <w:rPr/>
  </w:style>
  <w:style w:type="character" w:styleId="Hl" w:customStyle="1">
    <w:name w:val="hl"/>
    <w:basedOn w:val="DefaultParagraphFont"/>
    <w:qFormat/>
    <w:rsid w:val="00743fac"/>
    <w:rPr/>
  </w:style>
  <w:style w:type="character" w:styleId="Style18" w:customStyle="1">
    <w:name w:val="Абзац списка Знак"/>
    <w:uiPriority w:val="34"/>
    <w:qFormat/>
    <w:locked/>
    <w:rsid w:val="00dd1de9"/>
    <w:rPr>
      <w:color w:val="000000"/>
      <w:sz w:val="24"/>
      <w:szCs w:val="24"/>
    </w:rPr>
  </w:style>
  <w:style w:type="character" w:styleId="FontStyle25" w:customStyle="1">
    <w:name w:val="Font Style25"/>
    <w:qFormat/>
    <w:rsid w:val="00fd79ed"/>
    <w:rPr>
      <w:rFonts w:ascii="Times New Roman" w:hAnsi="Times New Roman" w:cs="Times New Roman"/>
      <w:sz w:val="26"/>
      <w:szCs w:val="26"/>
    </w:rPr>
  </w:style>
  <w:style w:type="character" w:styleId="41" w:customStyle="1">
    <w:name w:val="Заголовок 4 Знак"/>
    <w:basedOn w:val="DefaultParagraphFont"/>
    <w:link w:val="4"/>
    <w:semiHidden/>
    <w:qFormat/>
    <w:rsid w:val="00093e9d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4"/>
      <w:szCs w:val="24"/>
    </w:rPr>
  </w:style>
  <w:style w:type="character" w:styleId="Style19" w:customStyle="1">
    <w:name w:val="Символ нумерации"/>
    <w:qFormat/>
    <w:rPr/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Style21">
    <w:name w:val="Body Text"/>
    <w:basedOn w:val="Normal"/>
    <w:rsid w:val="00541960"/>
    <w:pPr>
      <w:shd w:val="clear" w:color="auto" w:fill="FFFFFF"/>
      <w:spacing w:lineRule="atLeast" w:line="240" w:before="0" w:after="960"/>
      <w:jc w:val="both"/>
    </w:pPr>
    <w:rPr>
      <w:rFonts w:ascii="Palatino Linotype" w:hAnsi="Palatino Linotype" w:cs="Palatino Linotype"/>
      <w:color w:val="auto"/>
      <w:spacing w:val="-20"/>
      <w:sz w:val="30"/>
      <w:szCs w:val="30"/>
    </w:rPr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13" w:customStyle="1">
    <w:name w:val="Заголовок №1"/>
    <w:basedOn w:val="Normal"/>
    <w:qFormat/>
    <w:rsid w:val="00541960"/>
    <w:pPr>
      <w:shd w:val="clear" w:color="auto" w:fill="FFFFFF"/>
      <w:spacing w:lineRule="atLeast" w:line="240" w:before="960" w:after="960"/>
      <w:outlineLvl w:val="0"/>
    </w:pPr>
    <w:rPr>
      <w:rFonts w:ascii="Palatino Linotype" w:hAnsi="Palatino Linotype" w:cs="Palatino Linotype"/>
      <w:color w:val="auto"/>
      <w:spacing w:val="-20"/>
      <w:sz w:val="30"/>
      <w:szCs w:val="30"/>
    </w:rPr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Normal"/>
    <w:uiPriority w:val="99"/>
    <w:rsid w:val="0001262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rsid w:val="0001262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3">
    <w:name w:val="Body Text Indent 3"/>
    <w:basedOn w:val="Normal"/>
    <w:qFormat/>
    <w:rsid w:val="00503f1d"/>
    <w:pPr>
      <w:spacing w:before="0" w:after="120"/>
      <w:ind w:left="283" w:hanging="0"/>
    </w:pPr>
    <w:rPr>
      <w:sz w:val="16"/>
      <w:szCs w:val="16"/>
    </w:rPr>
  </w:style>
  <w:style w:type="paragraph" w:styleId="BalloonText">
    <w:name w:val="Balloon Text"/>
    <w:basedOn w:val="Normal"/>
    <w:qFormat/>
    <w:rsid w:val="004e5e9b"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21"/>
    <w:basedOn w:val="Normal"/>
    <w:qFormat/>
    <w:rsid w:val="004032a1"/>
    <w:pPr/>
    <w:rPr>
      <w:rFonts w:ascii="Times New Roman" w:hAnsi="Times New Roman" w:eastAsia="Times New Roman" w:cs="Times New Roman"/>
      <w:b/>
      <w:color w:val="auto"/>
      <w:szCs w:val="20"/>
      <w:lang w:eastAsia="ar-SA"/>
    </w:rPr>
  </w:style>
  <w:style w:type="paragraph" w:styleId="Formattext" w:customStyle="1">
    <w:name w:val="formattext"/>
    <w:basedOn w:val="Normal"/>
    <w:qFormat/>
    <w:rsid w:val="00ba0c08"/>
    <w:pPr>
      <w:spacing w:beforeAutospacing="1" w:afterAutospacing="1"/>
    </w:pPr>
    <w:rPr>
      <w:rFonts w:ascii="Times New Roman" w:hAnsi="Times New Roman" w:eastAsia="Times New Roman" w:cs="Times New Roman"/>
      <w:color w:val="auto"/>
    </w:rPr>
  </w:style>
  <w:style w:type="paragraph" w:styleId="BodyText2">
    <w:name w:val="Body Text 2"/>
    <w:basedOn w:val="Normal"/>
    <w:qFormat/>
    <w:rsid w:val="00537d72"/>
    <w:pPr>
      <w:spacing w:lineRule="auto" w:line="480" w:before="0" w:after="120"/>
    </w:pPr>
    <w:rPr/>
  </w:style>
  <w:style w:type="paragraph" w:styleId="BodyText3">
    <w:name w:val="Body Text 3"/>
    <w:basedOn w:val="Normal"/>
    <w:qFormat/>
    <w:rsid w:val="00537d72"/>
    <w:pPr>
      <w:spacing w:before="0" w:after="120"/>
    </w:pPr>
    <w:rPr>
      <w:rFonts w:ascii="Times New Roman" w:hAnsi="Times New Roman" w:eastAsia="Times New Roman" w:cs="Times New Roman"/>
      <w:color w:val="auto"/>
      <w:sz w:val="16"/>
      <w:szCs w:val="16"/>
    </w:rPr>
  </w:style>
  <w:style w:type="paragraph" w:styleId="PlainText">
    <w:name w:val="Plain Text"/>
    <w:basedOn w:val="Normal"/>
    <w:qFormat/>
    <w:rsid w:val="00537d72"/>
    <w:pPr/>
    <w:rPr>
      <w:rFonts w:ascii="Courier New" w:hAnsi="Courier New" w:eastAsia="Times New Roman" w:cs="Courier New"/>
      <w:color w:val="auto"/>
    </w:rPr>
  </w:style>
  <w:style w:type="paragraph" w:styleId="NormalWeb">
    <w:name w:val="Normal (Web)"/>
    <w:basedOn w:val="Normal"/>
    <w:uiPriority w:val="99"/>
    <w:unhideWhenUsed/>
    <w:qFormat/>
    <w:rsid w:val="00e6217d"/>
    <w:pPr>
      <w:spacing w:beforeAutospacing="1" w:afterAutospacing="1"/>
    </w:pPr>
    <w:rPr>
      <w:rFonts w:ascii="Times New Roman" w:hAnsi="Times New Roman"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020bc1"/>
    <w:pPr>
      <w:ind w:left="708" w:hanging="0"/>
    </w:pPr>
    <w:rPr/>
  </w:style>
  <w:style w:type="paragraph" w:styleId="ConsPlusNormal" w:customStyle="1">
    <w:name w:val="ConsPlusNormal"/>
    <w:qFormat/>
    <w:rsid w:val="00e22fa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rsid w:val="00893e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24AAC-4782-4DA1-B6A5-E022824E1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Application>LibreOffice/7.2.4.1$Linux_X86_64 LibreOffice_project/20$Build-1</Application>
  <AppVersion>15.0000</AppVersion>
  <Pages>4</Pages>
  <Words>1098</Words>
  <Characters>7096</Characters>
  <CharactersWithSpaces>8023</CharactersWithSpaces>
  <Paragraphs>54</Paragraphs>
  <Company>Ростехнадзор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2024-06-07T16:12:00Z</dcterms:created>
  <dc:creator>Баранова Анастасия</dc:creator>
  <dc:description/>
  <dc:language>ru-RU</dc:language>
  <cp:lastModifiedBy/>
  <cp:lastPrinted>2025-09-25T05:46:00Z</cp:lastPrinted>
  <dcterms:modified xsi:type="dcterms:W3CDTF">2026-06-04T15:55:02Z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